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CE277" w14:textId="7F9D4D6C" w:rsidR="00410B8A" w:rsidRPr="0040373F" w:rsidRDefault="0040373F" w:rsidP="00410B8A">
      <w:pPr>
        <w:spacing w:line="276" w:lineRule="auto"/>
        <w:jc w:val="center"/>
        <w:rPr>
          <w:rFonts w:ascii="Times New Roman" w:hAnsi="Times New Roman" w:cs="Times New Roman"/>
          <w:b/>
          <w:bCs/>
          <w:sz w:val="32"/>
          <w:szCs w:val="32"/>
        </w:rPr>
      </w:pPr>
      <w:r w:rsidRPr="0040373F">
        <w:rPr>
          <w:rFonts w:ascii="Times New Roman" w:hAnsi="Times New Roman" w:cs="Times New Roman"/>
          <w:b/>
          <w:bCs/>
          <w:sz w:val="32"/>
          <w:szCs w:val="32"/>
        </w:rPr>
        <w:t>Critique de l’ethnocentrisme</w:t>
      </w:r>
    </w:p>
    <w:p w14:paraId="2757AD7B" w14:textId="77777777" w:rsidR="00410B8A" w:rsidRDefault="00410B8A">
      <w:pPr>
        <w:spacing w:line="276" w:lineRule="auto"/>
        <w:jc w:val="both"/>
        <w:rPr>
          <w:rFonts w:ascii="Times New Roman" w:hAnsi="Times New Roman" w:cs="Times New Roman"/>
          <w:b/>
          <w:bCs/>
          <w:sz w:val="28"/>
          <w:szCs w:val="28"/>
        </w:rPr>
      </w:pPr>
    </w:p>
    <w:p w14:paraId="56A1F513" w14:textId="3028C699" w:rsidR="00D103EE" w:rsidRDefault="00D103EE">
      <w:pPr>
        <w:spacing w:line="276" w:lineRule="auto"/>
        <w:jc w:val="both"/>
        <w:rPr>
          <w:rFonts w:ascii="Times New Roman" w:hAnsi="Times New Roman" w:cs="Times New Roman"/>
          <w:b/>
          <w:bCs/>
          <w:sz w:val="28"/>
          <w:szCs w:val="28"/>
        </w:rPr>
      </w:pPr>
      <w:r>
        <w:rPr>
          <w:rFonts w:ascii="Times New Roman" w:hAnsi="Times New Roman" w:cs="Times New Roman"/>
          <w:b/>
          <w:bCs/>
          <w:sz w:val="28"/>
          <w:szCs w:val="28"/>
        </w:rPr>
        <w:t>Claude</w:t>
      </w:r>
      <w:r w:rsidR="00AB3035">
        <w:rPr>
          <w:rFonts w:ascii="Times New Roman" w:hAnsi="Times New Roman" w:cs="Times New Roman"/>
          <w:b/>
          <w:bCs/>
          <w:sz w:val="28"/>
          <w:szCs w:val="28"/>
        </w:rPr>
        <w:t xml:space="preserve"> </w:t>
      </w:r>
      <w:r w:rsidR="00AB3035" w:rsidRPr="00AB3035">
        <w:rPr>
          <w:rFonts w:ascii="Times New Roman" w:eastAsia="Calibri" w:hAnsi="Times New Roman" w:cs="Times New Roman"/>
          <w:b/>
          <w:bCs/>
          <w:kern w:val="0"/>
          <w:sz w:val="28"/>
          <w:szCs w:val="28"/>
          <w14:ligatures w14:val="none"/>
        </w:rPr>
        <w:t>LÉVI-STRAUSS</w:t>
      </w:r>
      <w:r w:rsidR="00AB3035" w:rsidRPr="00AB3035">
        <w:rPr>
          <w:rFonts w:ascii="Times New Roman" w:hAnsi="Times New Roman" w:cs="Times New Roman"/>
          <w:b/>
          <w:bCs/>
          <w:sz w:val="28"/>
          <w:szCs w:val="28"/>
        </w:rPr>
        <w:t>,</w:t>
      </w:r>
      <w:r w:rsidR="00AB3035">
        <w:rPr>
          <w:rFonts w:ascii="Times New Roman" w:hAnsi="Times New Roman" w:cs="Times New Roman"/>
          <w:b/>
          <w:bCs/>
          <w:sz w:val="28"/>
          <w:szCs w:val="28"/>
        </w:rPr>
        <w:t xml:space="preserve"> </w:t>
      </w:r>
      <w:r w:rsidR="00AB3035" w:rsidRPr="00AB3035">
        <w:rPr>
          <w:rFonts w:ascii="Times New Roman" w:hAnsi="Times New Roman" w:cs="Times New Roman"/>
          <w:b/>
          <w:bCs/>
          <w:i/>
          <w:iCs/>
          <w:sz w:val="28"/>
          <w:szCs w:val="28"/>
        </w:rPr>
        <w:t>Race et histoire</w:t>
      </w:r>
      <w:r w:rsidR="00AB3035">
        <w:rPr>
          <w:rFonts w:ascii="Times New Roman" w:hAnsi="Times New Roman" w:cs="Times New Roman"/>
          <w:b/>
          <w:bCs/>
          <w:sz w:val="28"/>
          <w:szCs w:val="28"/>
        </w:rPr>
        <w:t xml:space="preserve"> (</w:t>
      </w:r>
      <w:r w:rsidR="00410B8A">
        <w:rPr>
          <w:rFonts w:ascii="Times New Roman" w:hAnsi="Times New Roman" w:cs="Times New Roman"/>
          <w:b/>
          <w:bCs/>
          <w:sz w:val="28"/>
          <w:szCs w:val="28"/>
        </w:rPr>
        <w:t>1952)</w:t>
      </w:r>
    </w:p>
    <w:p w14:paraId="66AC2986" w14:textId="5B922769" w:rsidR="00C02B2E" w:rsidRDefault="00C70996">
      <w:pPr>
        <w:spacing w:line="276" w:lineRule="auto"/>
        <w:jc w:val="both"/>
        <w:rPr>
          <w:rFonts w:ascii="Times New Roman" w:eastAsia="Calibri" w:hAnsi="Times New Roman" w:cs="Times New Roman"/>
          <w:kern w:val="0"/>
          <w:sz w:val="28"/>
          <w:szCs w:val="28"/>
          <w14:ligatures w14:val="none"/>
        </w:rPr>
      </w:pPr>
      <w:r>
        <w:rPr>
          <w:rFonts w:ascii="Times New Roman" w:eastAsia="Calibri" w:hAnsi="Times New Roman" w:cs="Times New Roman"/>
          <w:kern w:val="0"/>
          <w:sz w:val="28"/>
          <w:szCs w:val="28"/>
          <w14:ligatures w14:val="none"/>
        </w:rPr>
        <w:t>Cette attitude de pensée, au nom de laquelle on rejette les "sauvages" (ou tous ceux qu'on choisit de considérer comme tels) hors de l'humanité, est justement l'attitude la plus marquante et la plus distinctive de ces sauvages mêmes. On sait, en effet, que la notion d'humanité, englobant, sans distinction de race ou de civilisation, toutes les formes de l'espèce humaine, est d'apparition fort tardive et d'expansion limitée. Là même où elle semble avoir atteint son plus haut développement, il n'est nullement</w:t>
      </w:r>
      <w:r>
        <w:rPr>
          <w:rFonts w:ascii="Times New Roman" w:eastAsia="Calibri" w:hAnsi="Times New Roman" w:cs="Times New Roman"/>
          <w:kern w:val="0"/>
          <w:sz w:val="28"/>
          <w:szCs w:val="28"/>
          <w14:ligatures w14:val="none"/>
        </w:rPr>
        <w:t xml:space="preserve"> certain - l'histoire récente le prouve - qu'elle soit établie à l'abri des équivoques ou des régressions. Mais, pour de vastes fractions de l'espèce humaine et pendant des dizaines de millénaires, cette notion paraît totalement absente. L'humanité cesse aux frontières de la tribu, du groupe linguistique, parfois même du village ; à tel point qu'un grand nombre de populations dites primitives se désignent d'un nom qui signifie les "hommes" (ou parfois les "bons", les "excellents", les "complets"), impliquan</w:t>
      </w:r>
      <w:r>
        <w:rPr>
          <w:rFonts w:ascii="Times New Roman" w:eastAsia="Calibri" w:hAnsi="Times New Roman" w:cs="Times New Roman"/>
          <w:kern w:val="0"/>
          <w:sz w:val="28"/>
          <w:szCs w:val="28"/>
          <w14:ligatures w14:val="none"/>
        </w:rPr>
        <w:t>t ainsi que les autres tribus, groupes ou villages ne participent pas des vertus - ou même de la nature - humaines, mais sont tout au plus composés de "mauvais", de "méchants", de "singes de terre" ou d'"œufs de pou". On va souvent jusqu'à priver l'étranger de ce dernier degré de réalité en en faisant un "fantôme" ou une "apparition". Ainsi se réalisent de curieuses situations où deux interlocuteurs se donnent cruellement la réplique. Dans les Grandes Antilles, quelques années après la découverte de l'Améri</w:t>
      </w:r>
      <w:r>
        <w:rPr>
          <w:rFonts w:ascii="Times New Roman" w:eastAsia="Calibri" w:hAnsi="Times New Roman" w:cs="Times New Roman"/>
          <w:kern w:val="0"/>
          <w:sz w:val="28"/>
          <w:szCs w:val="28"/>
          <w14:ligatures w14:val="none"/>
        </w:rPr>
        <w:t xml:space="preserve">que, pendant que les Espagnols envoyaient des commissions d'enquête pour rechercher si les indigènes possédaient ou non une âme, ces derniers s'employaient à immerger des blancs prisonniers afin de vérifier par une surveillance prolongée si leur cadavre était, ou non, sujet à putréfaction. Cette anecdote à la fois baroque et tragique illustre bien </w:t>
      </w:r>
      <w:r w:rsidRPr="00C70996">
        <w:rPr>
          <w:rFonts w:ascii="Times New Roman" w:eastAsia="Calibri" w:hAnsi="Times New Roman" w:cs="Times New Roman"/>
          <w:b/>
          <w:bCs/>
          <w:kern w:val="0"/>
          <w:sz w:val="28"/>
          <w:szCs w:val="28"/>
          <w14:ligatures w14:val="none"/>
        </w:rPr>
        <w:t>le paradoxe du relativisme culturel</w:t>
      </w:r>
      <w:r>
        <w:rPr>
          <w:rFonts w:ascii="Times New Roman" w:eastAsia="Calibri" w:hAnsi="Times New Roman" w:cs="Times New Roman"/>
          <w:kern w:val="0"/>
          <w:sz w:val="28"/>
          <w:szCs w:val="28"/>
          <w14:ligatures w14:val="none"/>
        </w:rPr>
        <w:t xml:space="preserve"> : c'est dans la mesure même où l'on prétend établir une discrimination entre les cultures et les coutumes que l'on s'identifie le plus complètement avec celles qu'on essaye de nier. En refusant l'humanité à ceux qui apparaissent comme les plus "sauvages" ou "barbares" de ses représentants, on ne fait que leur emprunter une de leurs attitudes typiques. </w:t>
      </w:r>
      <w:r w:rsidRPr="00C70996">
        <w:rPr>
          <w:rFonts w:ascii="Times New Roman" w:eastAsia="Calibri" w:hAnsi="Times New Roman" w:cs="Times New Roman"/>
          <w:b/>
          <w:bCs/>
          <w:kern w:val="0"/>
          <w:sz w:val="28"/>
          <w:szCs w:val="28"/>
          <w14:ligatures w14:val="none"/>
        </w:rPr>
        <w:t>Le barbare, c'est d'abord l'homme qui croit à la barbarie</w:t>
      </w:r>
      <w:r>
        <w:rPr>
          <w:rFonts w:ascii="Times New Roman" w:eastAsia="Calibri" w:hAnsi="Times New Roman" w:cs="Times New Roman"/>
          <w:kern w:val="0"/>
          <w:sz w:val="28"/>
          <w:szCs w:val="28"/>
          <w14:ligatures w14:val="none"/>
        </w:rPr>
        <w:t xml:space="preserve">.                   </w:t>
      </w:r>
    </w:p>
    <w:p w14:paraId="66AC2987" w14:textId="69DF12B7" w:rsidR="00C02B2E" w:rsidRDefault="00C70996">
      <w:pPr>
        <w:spacing w:line="276" w:lineRule="auto"/>
        <w:jc w:val="both"/>
        <w:rPr>
          <w:rFonts w:ascii="Times New Roman" w:eastAsia="Calibri" w:hAnsi="Times New Roman" w:cs="Times New Roman"/>
          <w:kern w:val="0"/>
          <w:sz w:val="28"/>
          <w:szCs w:val="28"/>
          <w14:ligatures w14:val="none"/>
        </w:rPr>
      </w:pPr>
      <w:r>
        <w:rPr>
          <w:rFonts w:ascii="Times New Roman" w:eastAsia="Calibri" w:hAnsi="Times New Roman" w:cs="Times New Roman"/>
          <w:kern w:val="0"/>
          <w:sz w:val="28"/>
          <w:szCs w:val="28"/>
          <w14:ligatures w14:val="none"/>
        </w:rPr>
        <w:t xml:space="preserve">                                                              </w:t>
      </w:r>
    </w:p>
    <w:p w14:paraId="7D9212D3" w14:textId="77777777" w:rsidR="0040373F" w:rsidRDefault="0040373F" w:rsidP="00D103EE">
      <w:pPr>
        <w:spacing w:line="276" w:lineRule="auto"/>
        <w:jc w:val="both"/>
        <w:rPr>
          <w:rFonts w:ascii="Times New Roman" w:eastAsia="Calibri" w:hAnsi="Times New Roman" w:cs="Times New Roman"/>
          <w:kern w:val="0"/>
          <w:sz w:val="28"/>
          <w:szCs w:val="28"/>
          <w14:ligatures w14:val="none"/>
        </w:rPr>
      </w:pPr>
    </w:p>
    <w:p w14:paraId="2103321B" w14:textId="099A3FE6" w:rsidR="00D103EE" w:rsidRPr="00D103EE" w:rsidRDefault="00D103EE" w:rsidP="00D103EE">
      <w:pPr>
        <w:spacing w:line="276" w:lineRule="auto"/>
        <w:jc w:val="both"/>
        <w:rPr>
          <w:rFonts w:ascii="Times New Roman" w:hAnsi="Times New Roman" w:cs="Times New Roman"/>
          <w:sz w:val="28"/>
          <w:szCs w:val="28"/>
        </w:rPr>
      </w:pPr>
      <w:r w:rsidRPr="00D103EE">
        <w:rPr>
          <w:rFonts w:ascii="Times New Roman" w:hAnsi="Times New Roman" w:cs="Times New Roman"/>
          <w:b/>
          <w:bCs/>
          <w:sz w:val="28"/>
          <w:szCs w:val="28"/>
        </w:rPr>
        <w:lastRenderedPageBreak/>
        <w:t xml:space="preserve">Tzvetan TODOROV, </w:t>
      </w:r>
      <w:r w:rsidRPr="00D103EE">
        <w:rPr>
          <w:rFonts w:ascii="Times New Roman" w:hAnsi="Times New Roman" w:cs="Times New Roman"/>
          <w:b/>
          <w:bCs/>
          <w:i/>
          <w:iCs/>
          <w:sz w:val="28"/>
          <w:szCs w:val="28"/>
        </w:rPr>
        <w:t>La conquête de l’Amérique</w:t>
      </w:r>
      <w:r w:rsidRPr="00D103EE">
        <w:rPr>
          <w:rFonts w:ascii="Times New Roman" w:hAnsi="Times New Roman" w:cs="Times New Roman"/>
          <w:b/>
          <w:bCs/>
          <w:sz w:val="28"/>
          <w:szCs w:val="28"/>
        </w:rPr>
        <w:t xml:space="preserve"> (1982)</w:t>
      </w:r>
    </w:p>
    <w:p w14:paraId="12A60B74" w14:textId="77777777" w:rsidR="00D103EE" w:rsidRPr="00D103EE" w:rsidRDefault="00D103EE" w:rsidP="00D103EE">
      <w:pPr>
        <w:spacing w:line="276" w:lineRule="auto"/>
        <w:jc w:val="both"/>
        <w:rPr>
          <w:rFonts w:ascii="Times New Roman" w:hAnsi="Times New Roman" w:cs="Times New Roman"/>
          <w:sz w:val="28"/>
          <w:szCs w:val="28"/>
        </w:rPr>
      </w:pPr>
      <w:r w:rsidRPr="00D103EE">
        <w:rPr>
          <w:rFonts w:ascii="Times New Roman" w:hAnsi="Times New Roman" w:cs="Times New Roman"/>
          <w:sz w:val="28"/>
          <w:szCs w:val="28"/>
        </w:rPr>
        <w:t xml:space="preserve">L’exemple le plus intéressant est peut-être celui de Francisco de Vitoria, théologien, juriste et professeur de l’Université de Salamanque, un des sommets de l’humanisme espagnol du seizième siècle. Vitoria démolit les justifications couramment données aux guerres conduites en Amérique, mais conçoit néanmoins que des « justes guerres » sont possibles. (…) Il estime en effet qu’une intervention est licite si elle se fait au nom de la protection des innocents contre la tyrannie des chefs ou des lois indigènes, qui consiste « par exemple à sacrifier des hommes innocents ou même à mettre à mort des hommes non coupables pour les manger ». Une telle justification de la guerre est beaucoup moins évidente que ne le voudrait Vitoria, et en tous les cas elle ne relève pas de la réciprocité : </w:t>
      </w:r>
      <w:r w:rsidRPr="00D103EE">
        <w:rPr>
          <w:rFonts w:ascii="Times New Roman" w:hAnsi="Times New Roman" w:cs="Times New Roman"/>
          <w:b/>
          <w:bCs/>
          <w:sz w:val="28"/>
          <w:szCs w:val="28"/>
        </w:rPr>
        <w:t>même si cette règle s’appliquait indifféremment aux Indiens et aux Espagnols, ce sont ces derniers qui ont décidé du sens du mot « tyrannie », et c’est l’essentiel</w:t>
      </w:r>
      <w:r w:rsidRPr="00D103EE">
        <w:rPr>
          <w:rFonts w:ascii="Times New Roman" w:hAnsi="Times New Roman" w:cs="Times New Roman"/>
          <w:sz w:val="28"/>
          <w:szCs w:val="28"/>
        </w:rPr>
        <w:t xml:space="preserve">. </w:t>
      </w:r>
      <w:r w:rsidRPr="00D103EE">
        <w:rPr>
          <w:rFonts w:ascii="Times New Roman" w:hAnsi="Times New Roman" w:cs="Times New Roman"/>
          <w:b/>
          <w:bCs/>
          <w:sz w:val="28"/>
          <w:szCs w:val="28"/>
        </w:rPr>
        <w:t>Les Espagnols, à la différence des Indiens, ne sont pas seulement partie mais aussi juge, puisque ce sont eux qui choisissent les critères selon lesquels sera prononcé le jugement</w:t>
      </w:r>
      <w:r w:rsidRPr="00D103EE">
        <w:rPr>
          <w:rFonts w:ascii="Times New Roman" w:hAnsi="Times New Roman" w:cs="Times New Roman"/>
          <w:sz w:val="28"/>
          <w:szCs w:val="28"/>
        </w:rPr>
        <w:t xml:space="preserve"> ; ils décident, par exemple, que le sacrifice humain relève de la tyrannie, mais non le massacre. (…) En réalité, Vitoria ne s’en cache pas ; sa dernière justification de la guerre contre les Indiens est tout à fait claire à cet égard. « Bien que ces barbares ne soient pas tout à fait fous, écrit-il, cependant, ils n’en sont pas loin. » Leur stupidité, ajoute-t-il, « est beaucoup plus grande que celle des enfants et des fous des autres pays. » Il est donc licite d’intervenir dans leur pays pour exercer en somme un droit de tutelle. </w:t>
      </w:r>
      <w:r w:rsidRPr="00D103EE">
        <w:rPr>
          <w:rFonts w:ascii="Times New Roman" w:hAnsi="Times New Roman" w:cs="Times New Roman"/>
          <w:b/>
          <w:bCs/>
          <w:sz w:val="28"/>
          <w:szCs w:val="28"/>
        </w:rPr>
        <w:t>Mais en admettant même qu’on doive imposer le bien à autrui, qui, une fois de plus, décide de ce qui est barbarie ou sauvagerie et de ce qui est civilisation </w:t>
      </w:r>
      <w:r w:rsidRPr="00D103EE">
        <w:rPr>
          <w:rFonts w:ascii="Times New Roman" w:hAnsi="Times New Roman" w:cs="Times New Roman"/>
          <w:sz w:val="28"/>
          <w:szCs w:val="28"/>
        </w:rPr>
        <w:t xml:space="preserve">? </w:t>
      </w:r>
    </w:p>
    <w:p w14:paraId="1026650F" w14:textId="77777777" w:rsidR="00D103EE" w:rsidRPr="00F35BC1" w:rsidRDefault="00D103EE">
      <w:pPr>
        <w:spacing w:line="276" w:lineRule="auto"/>
        <w:jc w:val="both"/>
        <w:rPr>
          <w:rFonts w:ascii="Times New Roman" w:hAnsi="Times New Roman" w:cs="Times New Roman"/>
          <w:sz w:val="28"/>
          <w:szCs w:val="28"/>
        </w:rPr>
      </w:pPr>
    </w:p>
    <w:sectPr w:rsidR="00D103EE" w:rsidRPr="00F35BC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AC298A" w14:textId="77777777" w:rsidR="00C02B2E" w:rsidRDefault="00C70996">
      <w:pPr>
        <w:spacing w:line="240" w:lineRule="auto"/>
      </w:pPr>
      <w:r>
        <w:separator/>
      </w:r>
    </w:p>
  </w:endnote>
  <w:endnote w:type="continuationSeparator" w:id="0">
    <w:p w14:paraId="66AC298B" w14:textId="77777777" w:rsidR="00C02B2E" w:rsidRDefault="00C709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AC2988" w14:textId="77777777" w:rsidR="00C02B2E" w:rsidRDefault="00C70996">
      <w:pPr>
        <w:spacing w:after="0"/>
      </w:pPr>
      <w:r>
        <w:separator/>
      </w:r>
    </w:p>
  </w:footnote>
  <w:footnote w:type="continuationSeparator" w:id="0">
    <w:p w14:paraId="66AC2989" w14:textId="77777777" w:rsidR="00C02B2E" w:rsidRDefault="00C70996">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59D5"/>
    <w:rsid w:val="000154F1"/>
    <w:rsid w:val="000535AD"/>
    <w:rsid w:val="000744EF"/>
    <w:rsid w:val="000C3E04"/>
    <w:rsid w:val="000C69FF"/>
    <w:rsid w:val="000D3CF5"/>
    <w:rsid w:val="000F3FC8"/>
    <w:rsid w:val="00107A79"/>
    <w:rsid w:val="00212A5E"/>
    <w:rsid w:val="002319AC"/>
    <w:rsid w:val="002C0DC8"/>
    <w:rsid w:val="002D0BF9"/>
    <w:rsid w:val="002F19C9"/>
    <w:rsid w:val="003130B8"/>
    <w:rsid w:val="003248E9"/>
    <w:rsid w:val="0040373F"/>
    <w:rsid w:val="00410B8A"/>
    <w:rsid w:val="00413849"/>
    <w:rsid w:val="0053054D"/>
    <w:rsid w:val="00621C3C"/>
    <w:rsid w:val="007A7EBE"/>
    <w:rsid w:val="007C178F"/>
    <w:rsid w:val="00860DE6"/>
    <w:rsid w:val="00863AEB"/>
    <w:rsid w:val="009466B7"/>
    <w:rsid w:val="009A0B85"/>
    <w:rsid w:val="009F1B24"/>
    <w:rsid w:val="009F48D5"/>
    <w:rsid w:val="00A24B97"/>
    <w:rsid w:val="00A37AAC"/>
    <w:rsid w:val="00AB3035"/>
    <w:rsid w:val="00AD3F67"/>
    <w:rsid w:val="00C02B2E"/>
    <w:rsid w:val="00C259D5"/>
    <w:rsid w:val="00C70996"/>
    <w:rsid w:val="00C70EC0"/>
    <w:rsid w:val="00CE28A5"/>
    <w:rsid w:val="00D103EE"/>
    <w:rsid w:val="00D514D4"/>
    <w:rsid w:val="00E52850"/>
    <w:rsid w:val="00F35BC1"/>
    <w:rsid w:val="00F61BEF"/>
    <w:rsid w:val="14DC4A13"/>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C2986"/>
  <w15:docId w15:val="{7B879DF1-C042-4193-B7F0-6C5FAA1AF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lang w:eastAsia="en-US"/>
      <w14:ligatures w14:val="standardContextual"/>
    </w:rPr>
  </w:style>
  <w:style w:type="paragraph" w:styleId="Titre1">
    <w:name w:val="heading 1"/>
    <w:basedOn w:val="Normal"/>
    <w:next w:val="Normal"/>
    <w:link w:val="Titre1Car"/>
    <w:uiPriority w:val="9"/>
    <w:qFormat/>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pPr>
      <w:keepNext/>
      <w:keepLines/>
      <w:spacing w:before="160" w:after="80" w:line="278" w:lineRule="auto"/>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Titre5">
    <w:name w:val="heading 5"/>
    <w:basedOn w:val="Normal"/>
    <w:next w:val="Normal"/>
    <w:link w:val="Titre5Car"/>
    <w:uiPriority w:val="9"/>
    <w:semiHidden/>
    <w:unhideWhenUsed/>
    <w:qFormat/>
    <w:pPr>
      <w:keepNext/>
      <w:keepLines/>
      <w:spacing w:before="80" w:after="40" w:line="278" w:lineRule="auto"/>
      <w:outlineLvl w:val="4"/>
    </w:pPr>
    <w:rPr>
      <w:rFonts w:eastAsiaTheme="majorEastAsia" w:cstheme="majorBidi"/>
      <w:color w:val="0F4761" w:themeColor="accent1" w:themeShade="BF"/>
      <w:sz w:val="24"/>
      <w:szCs w:val="24"/>
    </w:rPr>
  </w:style>
  <w:style w:type="paragraph" w:styleId="Titre6">
    <w:name w:val="heading 6"/>
    <w:basedOn w:val="Normal"/>
    <w:next w:val="Normal"/>
    <w:link w:val="Titre6Car"/>
    <w:uiPriority w:val="9"/>
    <w:semiHidden/>
    <w:unhideWhenUsed/>
    <w:qFormat/>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Titre7">
    <w:name w:val="heading 7"/>
    <w:basedOn w:val="Normal"/>
    <w:next w:val="Normal"/>
    <w:link w:val="Titre7Car"/>
    <w:uiPriority w:val="9"/>
    <w:semiHidden/>
    <w:unhideWhenUsed/>
    <w:qFormat/>
    <w:pPr>
      <w:keepNext/>
      <w:keepLines/>
      <w:spacing w:before="40" w:after="0" w:line="278" w:lineRule="auto"/>
      <w:outlineLvl w:val="6"/>
    </w:pPr>
    <w:rPr>
      <w:rFonts w:eastAsiaTheme="majorEastAsia" w:cstheme="majorBidi"/>
      <w:color w:val="595959" w:themeColor="text1" w:themeTint="A6"/>
      <w:sz w:val="24"/>
      <w:szCs w:val="24"/>
    </w:rPr>
  </w:style>
  <w:style w:type="paragraph" w:styleId="Titre8">
    <w:name w:val="heading 8"/>
    <w:basedOn w:val="Normal"/>
    <w:next w:val="Normal"/>
    <w:link w:val="Titre8Car"/>
    <w:uiPriority w:val="9"/>
    <w:semiHidden/>
    <w:unhideWhenUsed/>
    <w:qFormat/>
    <w:pPr>
      <w:keepNext/>
      <w:keepLines/>
      <w:spacing w:after="0" w:line="278" w:lineRule="auto"/>
      <w:outlineLvl w:val="7"/>
    </w:pPr>
    <w:rPr>
      <w:rFonts w:eastAsiaTheme="majorEastAsia" w:cstheme="majorBidi"/>
      <w:i/>
      <w:iCs/>
      <w:color w:val="262626" w:themeColor="text1" w:themeTint="D9"/>
      <w:sz w:val="24"/>
      <w:szCs w:val="24"/>
    </w:rPr>
  </w:style>
  <w:style w:type="paragraph" w:styleId="Titre9">
    <w:name w:val="heading 9"/>
    <w:basedOn w:val="Normal"/>
    <w:next w:val="Normal"/>
    <w:link w:val="Titre9Car"/>
    <w:uiPriority w:val="9"/>
    <w:semiHidden/>
    <w:unhideWhenUsed/>
    <w:qFormat/>
    <w:pPr>
      <w:keepNext/>
      <w:keepLines/>
      <w:spacing w:after="0" w:line="278" w:lineRule="auto"/>
      <w:outlineLvl w:val="8"/>
    </w:pPr>
    <w:rPr>
      <w:rFonts w:eastAsiaTheme="majorEastAsia" w:cstheme="majorBidi"/>
      <w:color w:val="262626" w:themeColor="text1" w:themeTint="D9"/>
      <w:sz w:val="24"/>
      <w:szCs w:val="24"/>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uiPriority w:val="20"/>
    <w:qFormat/>
    <w:rPr>
      <w:i/>
      <w:iCs/>
    </w:rPr>
  </w:style>
  <w:style w:type="paragraph" w:styleId="Sous-titre">
    <w:name w:val="Subtitle"/>
    <w:basedOn w:val="Normal"/>
    <w:next w:val="Normal"/>
    <w:link w:val="Sous-titreCar"/>
    <w:uiPriority w:val="11"/>
    <w:qFormat/>
    <w:pPr>
      <w:spacing w:line="278" w:lineRule="auto"/>
    </w:pPr>
    <w:rPr>
      <w:rFonts w:eastAsiaTheme="majorEastAsia" w:cstheme="majorBidi"/>
      <w:color w:val="595959" w:themeColor="text1" w:themeTint="A6"/>
      <w:spacing w:val="15"/>
      <w:sz w:val="28"/>
      <w:szCs w:val="28"/>
    </w:rPr>
  </w:style>
  <w:style w:type="paragraph" w:styleId="Titre">
    <w:name w:val="Title"/>
    <w:basedOn w:val="Normal"/>
    <w:next w:val="Normal"/>
    <w:link w:val="TitreC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1Car">
    <w:name w:val="Titre 1 Car"/>
    <w:basedOn w:val="Policepardfaut"/>
    <w:link w:val="Titre1"/>
    <w:uiPriority w:val="9"/>
    <w:qFormat/>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qFormat/>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qFormat/>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qFormat/>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qFormat/>
    <w:rPr>
      <w:rFonts w:eastAsiaTheme="majorEastAsia" w:cstheme="majorBidi"/>
      <w:color w:val="0F4761" w:themeColor="accent1" w:themeShade="BF"/>
    </w:rPr>
  </w:style>
  <w:style w:type="character" w:customStyle="1" w:styleId="Titre6Car">
    <w:name w:val="Titre 6 Car"/>
    <w:basedOn w:val="Policepardfaut"/>
    <w:link w:val="Titre6"/>
    <w:uiPriority w:val="9"/>
    <w:semiHidden/>
    <w:qFormat/>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qFormat/>
    <w:rPr>
      <w:rFonts w:eastAsiaTheme="majorEastAsia" w:cstheme="majorBidi"/>
      <w:color w:val="595959" w:themeColor="text1" w:themeTint="A6"/>
    </w:rPr>
  </w:style>
  <w:style w:type="character" w:customStyle="1" w:styleId="Titre8Car">
    <w:name w:val="Titre 8 Car"/>
    <w:basedOn w:val="Policepardfaut"/>
    <w:link w:val="Titre8"/>
    <w:uiPriority w:val="9"/>
    <w:semiHidden/>
    <w:qFormat/>
    <w:rPr>
      <w:rFonts w:eastAsiaTheme="majorEastAsia" w:cstheme="majorBidi"/>
      <w:i/>
      <w:iCs/>
      <w:color w:val="262626" w:themeColor="text1" w:themeTint="D9"/>
    </w:rPr>
  </w:style>
  <w:style w:type="character" w:customStyle="1" w:styleId="Titre9Car">
    <w:name w:val="Titre 9 Car"/>
    <w:basedOn w:val="Policepardfaut"/>
    <w:link w:val="Titre9"/>
    <w:uiPriority w:val="9"/>
    <w:semiHidden/>
    <w:rPr>
      <w:rFonts w:eastAsiaTheme="majorEastAsia" w:cstheme="majorBidi"/>
      <w:color w:val="262626" w:themeColor="text1" w:themeTint="D9"/>
    </w:rPr>
  </w:style>
  <w:style w:type="character" w:customStyle="1" w:styleId="TitreCar">
    <w:name w:val="Titre Car"/>
    <w:basedOn w:val="Policepardfaut"/>
    <w:link w:val="Titre"/>
    <w:uiPriority w:val="10"/>
    <w:rPr>
      <w:rFonts w:asciiTheme="majorHAnsi" w:eastAsiaTheme="majorEastAsia" w:hAnsiTheme="majorHAnsi" w:cstheme="majorBidi"/>
      <w:spacing w:val="-10"/>
      <w:kern w:val="28"/>
      <w:sz w:val="56"/>
      <w:szCs w:val="56"/>
    </w:rPr>
  </w:style>
  <w:style w:type="character" w:customStyle="1" w:styleId="Sous-titreCar">
    <w:name w:val="Sous-titre Car"/>
    <w:basedOn w:val="Policepardfaut"/>
    <w:link w:val="Sous-titre"/>
    <w:uiPriority w:val="11"/>
    <w:qFormat/>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pPr>
      <w:spacing w:before="160" w:line="278" w:lineRule="auto"/>
      <w:jc w:val="center"/>
    </w:pPr>
    <w:rPr>
      <w:i/>
      <w:iCs/>
      <w:color w:val="404040" w:themeColor="text1" w:themeTint="BF"/>
      <w:sz w:val="24"/>
      <w:szCs w:val="24"/>
    </w:rPr>
  </w:style>
  <w:style w:type="character" w:customStyle="1" w:styleId="CitationCar">
    <w:name w:val="Citation Car"/>
    <w:basedOn w:val="Policepardfaut"/>
    <w:link w:val="Citation"/>
    <w:uiPriority w:val="29"/>
    <w:qFormat/>
    <w:rPr>
      <w:i/>
      <w:iCs/>
      <w:color w:val="404040" w:themeColor="text1" w:themeTint="BF"/>
    </w:rPr>
  </w:style>
  <w:style w:type="paragraph" w:styleId="Paragraphedeliste">
    <w:name w:val="List Paragraph"/>
    <w:basedOn w:val="Normal"/>
    <w:uiPriority w:val="34"/>
    <w:qFormat/>
    <w:pPr>
      <w:spacing w:line="278" w:lineRule="auto"/>
      <w:ind w:left="720"/>
      <w:contextualSpacing/>
    </w:pPr>
    <w:rPr>
      <w:sz w:val="24"/>
      <w:szCs w:val="24"/>
    </w:rPr>
  </w:style>
  <w:style w:type="character" w:customStyle="1" w:styleId="Accentuationintense1">
    <w:name w:val="Accentuation intense1"/>
    <w:basedOn w:val="Policepardfaut"/>
    <w:uiPriority w:val="21"/>
    <w:qFormat/>
    <w:rPr>
      <w:i/>
      <w:iCs/>
      <w:color w:val="0F4761" w:themeColor="accent1" w:themeShade="BF"/>
    </w:rPr>
  </w:style>
  <w:style w:type="paragraph" w:styleId="Citationintense">
    <w:name w:val="Intense Quote"/>
    <w:basedOn w:val="Normal"/>
    <w:next w:val="Normal"/>
    <w:link w:val="CitationintenseCar"/>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CitationintenseCar">
    <w:name w:val="Citation intense Car"/>
    <w:basedOn w:val="Policepardfaut"/>
    <w:link w:val="Citationintense"/>
    <w:uiPriority w:val="30"/>
    <w:rPr>
      <w:i/>
      <w:iCs/>
      <w:color w:val="0F4761" w:themeColor="accent1" w:themeShade="BF"/>
    </w:rPr>
  </w:style>
  <w:style w:type="character" w:customStyle="1" w:styleId="Rfrenceintense1">
    <w:name w:val="Référence intense1"/>
    <w:basedOn w:val="Policepardfaut"/>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2662427">
      <w:bodyDiv w:val="1"/>
      <w:marLeft w:val="0"/>
      <w:marRight w:val="0"/>
      <w:marTop w:val="0"/>
      <w:marBottom w:val="0"/>
      <w:divBdr>
        <w:top w:val="none" w:sz="0" w:space="0" w:color="auto"/>
        <w:left w:val="none" w:sz="0" w:space="0" w:color="auto"/>
        <w:bottom w:val="none" w:sz="0" w:space="0" w:color="auto"/>
        <w:right w:val="none" w:sz="0" w:space="0" w:color="auto"/>
      </w:divBdr>
    </w:div>
    <w:div w:id="17662675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674</Words>
  <Characters>3707</Characters>
  <Application>Microsoft Office Word</Application>
  <DocSecurity>0</DocSecurity>
  <Lines>30</Lines>
  <Paragraphs>8</Paragraphs>
  <ScaleCrop>false</ScaleCrop>
  <Company/>
  <LinksUpToDate>false</LinksUpToDate>
  <CharactersWithSpaces>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Deschavanne</dc:creator>
  <cp:lastModifiedBy>Eric Deschavanne</cp:lastModifiedBy>
  <cp:revision>36</cp:revision>
  <cp:lastPrinted>2025-01-15T08:40:00Z</cp:lastPrinted>
  <dcterms:created xsi:type="dcterms:W3CDTF">2025-01-08T13:15:00Z</dcterms:created>
  <dcterms:modified xsi:type="dcterms:W3CDTF">2025-02-08T15:25:00Z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1036-12.2.0.19805</vt:lpwstr>
  </property>
  <property fmtid="{D5CDD505-2E9C-101B-9397-08002B2CF9AE}" pid="3" name="ICV">
    <vt:lpwstr>DBB24A2D0138464EA1AAC9A241CD081E_12</vt:lpwstr>
  </property>
</Properties>
</file>