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8DF55" w14:textId="71E7C83D" w:rsidR="00640E4D" w:rsidRPr="00640E4D" w:rsidRDefault="00640E4D" w:rsidP="00640E4D">
      <w:pPr>
        <w:spacing w:line="276" w:lineRule="auto"/>
        <w:jc w:val="center"/>
        <w:rPr>
          <w:rFonts w:ascii="Times New Roman" w:hAnsi="Times New Roman" w:cs="Times New Roman"/>
          <w:b/>
          <w:bCs/>
          <w:sz w:val="28"/>
          <w:szCs w:val="28"/>
        </w:rPr>
      </w:pPr>
      <w:r w:rsidRPr="00640E4D">
        <w:rPr>
          <w:rFonts w:ascii="Times New Roman" w:hAnsi="Times New Roman" w:cs="Times New Roman"/>
          <w:b/>
          <w:bCs/>
          <w:sz w:val="28"/>
          <w:szCs w:val="28"/>
        </w:rPr>
        <w:t>Deux arguments en faveur de la liberté d’expression</w:t>
      </w:r>
    </w:p>
    <w:p w14:paraId="4725D84C" w14:textId="77777777" w:rsidR="00640E4D" w:rsidRDefault="00640E4D" w:rsidP="008C25F2">
      <w:pPr>
        <w:spacing w:line="276" w:lineRule="auto"/>
        <w:jc w:val="both"/>
        <w:rPr>
          <w:rFonts w:ascii="Times New Roman" w:hAnsi="Times New Roman" w:cs="Times New Roman"/>
          <w:sz w:val="26"/>
          <w:szCs w:val="26"/>
        </w:rPr>
      </w:pPr>
    </w:p>
    <w:p w14:paraId="537EA94F" w14:textId="37537D6C" w:rsidR="00640E4D" w:rsidRPr="00640E4D" w:rsidRDefault="00640E4D" w:rsidP="008C25F2">
      <w:pPr>
        <w:spacing w:line="276" w:lineRule="auto"/>
        <w:jc w:val="both"/>
        <w:rPr>
          <w:rFonts w:ascii="Times New Roman" w:hAnsi="Times New Roman" w:cs="Times New Roman"/>
          <w:b/>
          <w:bCs/>
          <w:sz w:val="26"/>
          <w:szCs w:val="26"/>
        </w:rPr>
      </w:pPr>
      <w:r w:rsidRPr="00640E4D">
        <w:rPr>
          <w:rFonts w:ascii="Times New Roman" w:hAnsi="Times New Roman" w:cs="Times New Roman"/>
          <w:b/>
          <w:bCs/>
          <w:sz w:val="26"/>
          <w:szCs w:val="26"/>
        </w:rPr>
        <w:t>I -</w:t>
      </w:r>
    </w:p>
    <w:p w14:paraId="7E3C7F81" w14:textId="5E67315A" w:rsidR="008C25F2" w:rsidRDefault="008C25F2" w:rsidP="008C25F2">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La liberté de conscience est le grand privilège des sujets, comme le droit de contraindre est la grande prérogative du magistrat. […] </w:t>
      </w:r>
      <w:r w:rsidRPr="00F3728D">
        <w:rPr>
          <w:rFonts w:ascii="Times New Roman" w:hAnsi="Times New Roman" w:cs="Times New Roman"/>
          <w:sz w:val="26"/>
          <w:szCs w:val="26"/>
        </w:rPr>
        <w:t>Quant à l’efficacité de la force et de la rigueur pour modifier les opinions des hommes, l’histoire est remplie d’exemples</w:t>
      </w:r>
      <w:r>
        <w:rPr>
          <w:rFonts w:ascii="Times New Roman" w:hAnsi="Times New Roman" w:cs="Times New Roman"/>
          <w:sz w:val="26"/>
          <w:szCs w:val="26"/>
        </w:rPr>
        <w:t xml:space="preserve"> de leur essai ; mais à peine trouvera-t-on un cas où une opinion ait été éradiquée par les persécutions, sauf là où la violence qui s’est exercée à son encontre s’est employée en même temps à exterminer tous ceux qui la professaient. Je désire seulement que chacun consulte son propre cœur et qu’il en fasse l’expérience : la violence peut-elle contraindre les opinions ? Les arguments eux-mêmes, lorsqu’ils sont poussés avec trop de chaleur, ne nous rendent-ils pas encore plus obstinés dans nos opinions ? Les hommes sont en effet fort soucieux de préserver la liberté de cette partie d’eux-mêmes en quoi réside leur dignité d’hommes et qui, si on pouvait la contraindre, ferait d’eux des créatures très peu différentes des bêtes brutes. Je pose la question à ceux qui, récemment, ont eux-mêmes résisté avec constance à l’emploi d’une force qui s’est révélée sans efficacité, et qui ont montré à quel point elle était incapable de l’emporter sur leurs opinions : toute la rigueur du monde pouvait-elle les rapprocher d’un seul pas d’une adhésion intime et sincère aux opinions qui tenaient alors le haut du pavé ? Et qu’ils ne viennent pas me dire que c’est parce qu’ils étaient assurés d’être dans le vrai car, dans ce qu’il croit, tout homme est convaincu qu’il a raison.</w:t>
      </w:r>
    </w:p>
    <w:p w14:paraId="71F4663B" w14:textId="3E631557" w:rsidR="008C25F2" w:rsidRDefault="008C25F2" w:rsidP="008C25F2">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                                                                     John LOCKE, </w:t>
      </w:r>
      <w:r w:rsidRPr="008A5805">
        <w:rPr>
          <w:rFonts w:ascii="Times New Roman" w:hAnsi="Times New Roman" w:cs="Times New Roman"/>
          <w:i/>
          <w:iCs/>
          <w:sz w:val="26"/>
          <w:szCs w:val="26"/>
        </w:rPr>
        <w:t>Essai sur la toléranc</w:t>
      </w:r>
      <w:r w:rsidR="000B31D9">
        <w:rPr>
          <w:rFonts w:ascii="Times New Roman" w:hAnsi="Times New Roman" w:cs="Times New Roman"/>
          <w:i/>
          <w:iCs/>
          <w:sz w:val="26"/>
          <w:szCs w:val="26"/>
        </w:rPr>
        <w:t xml:space="preserve">e </w:t>
      </w:r>
      <w:r w:rsidR="000B31D9">
        <w:rPr>
          <w:rFonts w:ascii="Times New Roman" w:hAnsi="Times New Roman" w:cs="Times New Roman"/>
          <w:sz w:val="26"/>
          <w:szCs w:val="26"/>
        </w:rPr>
        <w:t>(1689)</w:t>
      </w:r>
    </w:p>
    <w:p w14:paraId="06367779" w14:textId="77777777" w:rsidR="00C151E8" w:rsidRDefault="00C151E8" w:rsidP="00C151E8">
      <w:pPr>
        <w:spacing w:line="276" w:lineRule="auto"/>
        <w:jc w:val="both"/>
        <w:rPr>
          <w:rFonts w:ascii="Times New Roman" w:hAnsi="Times New Roman" w:cs="Times New Roman"/>
          <w:sz w:val="26"/>
          <w:szCs w:val="26"/>
        </w:rPr>
      </w:pPr>
    </w:p>
    <w:p w14:paraId="3E1B2571" w14:textId="470FEB7F" w:rsidR="000B31D9" w:rsidRPr="000B31D9" w:rsidRDefault="000B31D9" w:rsidP="00C151E8">
      <w:pPr>
        <w:spacing w:line="276" w:lineRule="auto"/>
        <w:jc w:val="both"/>
        <w:rPr>
          <w:rFonts w:ascii="Times New Roman" w:hAnsi="Times New Roman" w:cs="Times New Roman"/>
          <w:b/>
          <w:bCs/>
          <w:sz w:val="26"/>
          <w:szCs w:val="26"/>
        </w:rPr>
      </w:pPr>
      <w:r w:rsidRPr="000B31D9">
        <w:rPr>
          <w:rFonts w:ascii="Times New Roman" w:hAnsi="Times New Roman" w:cs="Times New Roman"/>
          <w:b/>
          <w:bCs/>
          <w:sz w:val="26"/>
          <w:szCs w:val="26"/>
        </w:rPr>
        <w:t>II</w:t>
      </w:r>
    </w:p>
    <w:p w14:paraId="0FC1844D" w14:textId="6FB823D3" w:rsidR="000B31D9" w:rsidRDefault="000B31D9" w:rsidP="00C151E8">
      <w:pPr>
        <w:spacing w:line="276" w:lineRule="auto"/>
        <w:jc w:val="both"/>
        <w:rPr>
          <w:rFonts w:ascii="Times New Roman" w:hAnsi="Times New Roman" w:cs="Times New Roman"/>
          <w:sz w:val="26"/>
          <w:szCs w:val="26"/>
        </w:rPr>
      </w:pPr>
      <w:r>
        <w:rPr>
          <w:rFonts w:ascii="Times New Roman" w:hAnsi="Times New Roman" w:cs="Times New Roman"/>
          <w:sz w:val="26"/>
          <w:szCs w:val="26"/>
        </w:rPr>
        <w:t>A la liberté de penser s’oppose, en premier lieu, la contrainte civile. On dit, il est vrai, que la liberté de parler ou d’écrire peut nous être ôtée par une puissance supérieure, mais non pas la liberté de penser. Mais penserions-nous beaucoup, et penserions-nous bien, si nous ne pensions pas pour ainsi dire en commun avec d’autres, qui nous font part de leurs pensées et auxquelles nous communiquons les nôtres ? Aussi bien peut-on dire que cette puissance extérieure qui enlève aux hommes la liberté de communiquer publiquement leurs pensées, leur ôte également la liberté de penser – l’unique trésor qui nous reste encore en dépit de toutes les charges civiles et qui peut seul apporter un remède à tous les maux qui s’attachent à cette condition.</w:t>
      </w:r>
    </w:p>
    <w:p w14:paraId="610F0B18" w14:textId="3BDA7429" w:rsidR="000B31D9" w:rsidRDefault="000B31D9" w:rsidP="00C151E8">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                              Emmanuel KANT, </w:t>
      </w:r>
      <w:r w:rsidRPr="000B31D9">
        <w:rPr>
          <w:rFonts w:ascii="Times New Roman" w:hAnsi="Times New Roman" w:cs="Times New Roman"/>
          <w:i/>
          <w:iCs/>
          <w:sz w:val="26"/>
          <w:szCs w:val="26"/>
        </w:rPr>
        <w:t>Qu’est-ce que s’orienter dans la pensée ?</w:t>
      </w:r>
      <w:r>
        <w:rPr>
          <w:rFonts w:ascii="Times New Roman" w:hAnsi="Times New Roman" w:cs="Times New Roman"/>
          <w:sz w:val="26"/>
          <w:szCs w:val="26"/>
        </w:rPr>
        <w:t xml:space="preserve"> (1786)</w:t>
      </w:r>
    </w:p>
    <w:p w14:paraId="127C9409" w14:textId="77777777" w:rsidR="000B31D9" w:rsidRDefault="000B31D9" w:rsidP="00C151E8">
      <w:pPr>
        <w:spacing w:line="276" w:lineRule="auto"/>
        <w:jc w:val="both"/>
        <w:rPr>
          <w:rFonts w:ascii="Times New Roman" w:hAnsi="Times New Roman" w:cs="Times New Roman"/>
          <w:sz w:val="26"/>
          <w:szCs w:val="26"/>
        </w:rPr>
      </w:pPr>
    </w:p>
    <w:p w14:paraId="09AD4A1B" w14:textId="46A71279" w:rsidR="005E377F" w:rsidRDefault="00640E4D" w:rsidP="00C151E8">
      <w:pPr>
        <w:spacing w:line="276" w:lineRule="auto"/>
        <w:jc w:val="both"/>
        <w:rPr>
          <w:rFonts w:ascii="Times New Roman" w:hAnsi="Times New Roman" w:cs="Times New Roman"/>
          <w:sz w:val="26"/>
          <w:szCs w:val="26"/>
        </w:rPr>
      </w:pPr>
      <w:r>
        <w:rPr>
          <w:rFonts w:ascii="Times New Roman" w:hAnsi="Times New Roman" w:cs="Times New Roman"/>
          <w:sz w:val="26"/>
          <w:szCs w:val="26"/>
        </w:rPr>
        <w:lastRenderedPageBreak/>
        <w:t xml:space="preserve">Il est donc difficile pour l’individu de s’arracher tout seul à la minorité, devenue pour lui presque un état naturel. (…) En revanche, la possibilité qu’un public s’éclaire lui-même est plus réelle ; cela est même à peu près inévitable, pourvu qu’on lui en laisse la liberté. (…) </w:t>
      </w:r>
      <w:r w:rsidR="00397BAA">
        <w:rPr>
          <w:rFonts w:ascii="Times New Roman" w:hAnsi="Times New Roman" w:cs="Times New Roman"/>
          <w:sz w:val="26"/>
          <w:szCs w:val="26"/>
        </w:rPr>
        <w:t xml:space="preserve">Or, pour répandre ces lumières, il n’est rien requis d’autre que </w:t>
      </w:r>
      <w:r w:rsidR="00397BAA" w:rsidRPr="00C151E8">
        <w:rPr>
          <w:rFonts w:ascii="Times New Roman" w:hAnsi="Times New Roman" w:cs="Times New Roman"/>
          <w:i/>
          <w:iCs/>
          <w:sz w:val="26"/>
          <w:szCs w:val="26"/>
        </w:rPr>
        <w:t>la liberté</w:t>
      </w:r>
      <w:r w:rsidR="00397BAA">
        <w:rPr>
          <w:rFonts w:ascii="Times New Roman" w:hAnsi="Times New Roman" w:cs="Times New Roman"/>
          <w:sz w:val="26"/>
          <w:szCs w:val="26"/>
        </w:rPr>
        <w:t xml:space="preserve"> ; et à vrai dire la plus inoffensive de toutes les manifestations qui peuvent porter ce nom, à savoir celle de faire </w:t>
      </w:r>
      <w:r w:rsidR="00397BAA" w:rsidRPr="00640E4D">
        <w:rPr>
          <w:rFonts w:ascii="Times New Roman" w:hAnsi="Times New Roman" w:cs="Times New Roman"/>
          <w:i/>
          <w:iCs/>
          <w:sz w:val="26"/>
          <w:szCs w:val="26"/>
        </w:rPr>
        <w:t>un usage public</w:t>
      </w:r>
      <w:r w:rsidR="00397BAA">
        <w:rPr>
          <w:rFonts w:ascii="Times New Roman" w:hAnsi="Times New Roman" w:cs="Times New Roman"/>
          <w:sz w:val="26"/>
          <w:szCs w:val="26"/>
        </w:rPr>
        <w:t xml:space="preserve"> de sa raison dans tous les domaines. Mais voilà que j’entends crier de tous côtés : « Ne raisonnez pas ! » L’officier dit</w:t>
      </w:r>
      <w:r w:rsidR="00397BAA" w:rsidRPr="00397BAA">
        <w:rPr>
          <w:rFonts w:ascii="Times New Roman" w:hAnsi="Times New Roman" w:cs="Times New Roman"/>
          <w:sz w:val="26"/>
          <w:szCs w:val="26"/>
        </w:rPr>
        <w:t xml:space="preserve"> </w:t>
      </w:r>
      <w:r w:rsidR="00397BAA">
        <w:rPr>
          <w:rFonts w:ascii="Times New Roman" w:hAnsi="Times New Roman" w:cs="Times New Roman"/>
          <w:sz w:val="26"/>
          <w:szCs w:val="26"/>
        </w:rPr>
        <w:t>: « Ne raisonnez pas, faites vos exercices ! » Le percepteur : « </w:t>
      </w:r>
      <w:r w:rsidR="00397BAA" w:rsidRPr="00C151E8">
        <w:rPr>
          <w:rFonts w:ascii="Times New Roman" w:hAnsi="Times New Roman" w:cs="Times New Roman"/>
          <w:i/>
          <w:iCs/>
          <w:sz w:val="26"/>
          <w:szCs w:val="26"/>
        </w:rPr>
        <w:t>Ne raisonnez pas, payez !</w:t>
      </w:r>
      <w:r w:rsidR="00397BAA">
        <w:rPr>
          <w:rFonts w:ascii="Times New Roman" w:hAnsi="Times New Roman" w:cs="Times New Roman"/>
          <w:sz w:val="26"/>
          <w:szCs w:val="26"/>
        </w:rPr>
        <w:t xml:space="preserve"> » Le prêtre : « Ne raisonnez pas, croyez ! ». Dans tous ces cas, il y a limitation de la liberté. </w:t>
      </w:r>
      <w:r w:rsidR="00853C5B">
        <w:rPr>
          <w:rFonts w:ascii="Times New Roman" w:hAnsi="Times New Roman" w:cs="Times New Roman"/>
          <w:sz w:val="26"/>
          <w:szCs w:val="26"/>
        </w:rPr>
        <w:t xml:space="preserve">Or quelle limitation fait obstacle aux lumières ? Quelle autre ne fait pas, mais les favorise peut-être même ? – Je réponds : l’usage </w:t>
      </w:r>
      <w:r w:rsidR="00853C5B" w:rsidRPr="00640E4D">
        <w:rPr>
          <w:rFonts w:ascii="Times New Roman" w:hAnsi="Times New Roman" w:cs="Times New Roman"/>
          <w:i/>
          <w:iCs/>
          <w:sz w:val="26"/>
          <w:szCs w:val="26"/>
        </w:rPr>
        <w:t>public</w:t>
      </w:r>
      <w:r w:rsidR="00853C5B">
        <w:rPr>
          <w:rFonts w:ascii="Times New Roman" w:hAnsi="Times New Roman" w:cs="Times New Roman"/>
          <w:sz w:val="26"/>
          <w:szCs w:val="26"/>
        </w:rPr>
        <w:t xml:space="preserve"> de notre raison doit toujours doit toujours être libre, et lui seul peut répandre les lumières parmi les hommes ; mais son </w:t>
      </w:r>
      <w:r w:rsidR="00853C5B" w:rsidRPr="00640E4D">
        <w:rPr>
          <w:rFonts w:ascii="Times New Roman" w:hAnsi="Times New Roman" w:cs="Times New Roman"/>
          <w:i/>
          <w:iCs/>
          <w:sz w:val="26"/>
          <w:szCs w:val="26"/>
        </w:rPr>
        <w:t>usage privé</w:t>
      </w:r>
      <w:r w:rsidR="00853C5B">
        <w:rPr>
          <w:rFonts w:ascii="Times New Roman" w:hAnsi="Times New Roman" w:cs="Times New Roman"/>
          <w:sz w:val="26"/>
          <w:szCs w:val="26"/>
        </w:rPr>
        <w:t xml:space="preserve"> peut souvent être étroitement limité, sans pour autant empêcher sensiblement le progrès des lumières. Or j’entends par usage </w:t>
      </w:r>
      <w:r w:rsidR="00853C5B" w:rsidRPr="00640E4D">
        <w:rPr>
          <w:rFonts w:ascii="Times New Roman" w:hAnsi="Times New Roman" w:cs="Times New Roman"/>
          <w:sz w:val="26"/>
          <w:szCs w:val="26"/>
        </w:rPr>
        <w:t>public</w:t>
      </w:r>
      <w:r w:rsidR="00853C5B">
        <w:rPr>
          <w:rFonts w:ascii="Times New Roman" w:hAnsi="Times New Roman" w:cs="Times New Roman"/>
          <w:sz w:val="26"/>
          <w:szCs w:val="26"/>
        </w:rPr>
        <w:t xml:space="preserve"> de notre propre raison celui que l’on en fait comme </w:t>
      </w:r>
      <w:r w:rsidR="00853C5B" w:rsidRPr="00640E4D">
        <w:rPr>
          <w:rFonts w:ascii="Times New Roman" w:hAnsi="Times New Roman" w:cs="Times New Roman"/>
          <w:i/>
          <w:iCs/>
          <w:sz w:val="26"/>
          <w:szCs w:val="26"/>
        </w:rPr>
        <w:t xml:space="preserve">savant </w:t>
      </w:r>
      <w:r w:rsidR="00853C5B">
        <w:rPr>
          <w:rFonts w:ascii="Times New Roman" w:hAnsi="Times New Roman" w:cs="Times New Roman"/>
          <w:sz w:val="26"/>
          <w:szCs w:val="26"/>
        </w:rPr>
        <w:t xml:space="preserve">devant l’ensemble du public </w:t>
      </w:r>
      <w:r w:rsidR="00853C5B" w:rsidRPr="00640E4D">
        <w:rPr>
          <w:rFonts w:ascii="Times New Roman" w:hAnsi="Times New Roman" w:cs="Times New Roman"/>
          <w:i/>
          <w:iCs/>
          <w:sz w:val="26"/>
          <w:szCs w:val="26"/>
        </w:rPr>
        <w:t>qui</w:t>
      </w:r>
      <w:r w:rsidR="00853C5B">
        <w:rPr>
          <w:rFonts w:ascii="Times New Roman" w:hAnsi="Times New Roman" w:cs="Times New Roman"/>
          <w:sz w:val="26"/>
          <w:szCs w:val="26"/>
        </w:rPr>
        <w:t xml:space="preserve"> </w:t>
      </w:r>
      <w:r w:rsidR="00853C5B" w:rsidRPr="00640E4D">
        <w:rPr>
          <w:rFonts w:ascii="Times New Roman" w:hAnsi="Times New Roman" w:cs="Times New Roman"/>
          <w:i/>
          <w:iCs/>
          <w:sz w:val="26"/>
          <w:szCs w:val="26"/>
        </w:rPr>
        <w:t>lit</w:t>
      </w:r>
      <w:r w:rsidR="00853C5B">
        <w:rPr>
          <w:rFonts w:ascii="Times New Roman" w:hAnsi="Times New Roman" w:cs="Times New Roman"/>
          <w:sz w:val="26"/>
          <w:szCs w:val="26"/>
        </w:rPr>
        <w:t xml:space="preserve">. J’appelle usage privé celui qu’on a le droit de faire de sa raison dans tel ou tel </w:t>
      </w:r>
      <w:r w:rsidR="00853C5B" w:rsidRPr="00640E4D">
        <w:rPr>
          <w:rFonts w:ascii="Times New Roman" w:hAnsi="Times New Roman" w:cs="Times New Roman"/>
          <w:i/>
          <w:iCs/>
          <w:sz w:val="26"/>
          <w:szCs w:val="26"/>
        </w:rPr>
        <w:t>poste civil</w:t>
      </w:r>
      <w:r w:rsidR="00853C5B">
        <w:rPr>
          <w:rFonts w:ascii="Times New Roman" w:hAnsi="Times New Roman" w:cs="Times New Roman"/>
          <w:sz w:val="26"/>
          <w:szCs w:val="26"/>
        </w:rPr>
        <w:t>, on fonction, qui nous est confié. Or pour maintes activités qui concernent l’intérêt de la communauté, un certain mécanisme est nécessaire, en vertu duquel quelques membres de la communauté doivent se comporter de manière purement passive, afin d’être dirigés par le gouvernement, aux termes d’une unanimité factice, vers des fins publiques ou, du moins, afin d’être détournés de la destruction de ces fins. Dans ce cas, il n’est certes pas permis de raisonner ; il s’agit d’obéir.</w:t>
      </w:r>
      <w:r w:rsidR="00C151E8">
        <w:rPr>
          <w:rFonts w:ascii="Times New Roman" w:hAnsi="Times New Roman" w:cs="Times New Roman"/>
          <w:sz w:val="26"/>
          <w:szCs w:val="26"/>
        </w:rPr>
        <w:t xml:space="preserve"> (…) Ainsi il serait très dangereux qu’un officier, qui a reçu un ordre de ses supérieurs, se mit à raisonner dans le service sur l’opportunité ou l’utilité de cet ordre ; il doit obéir. Mais on ne peut pas légitimement lui interdire de faire, en tant que savant, des remarques sur les erreurs touchant le service militaire et les soumettre à son public afin qu’il les juge. Le citoyen ne peut refuser de payer les impôts auxquels il est soumis ; une critique impertinente de ces charges, au moment où il doit s’en acquitter, peut même être punie comme scandale (susceptible de provoquer des actes de rébellion généralisés). Cependant, le même individu n’ira pas à l’encontre de son devoir de citoyen s’il s’expose publiquement, en tant que savant, ses réflexions sur le caractère inconvenant ou même injuste de telles impositions.</w:t>
      </w:r>
    </w:p>
    <w:p w14:paraId="7F517001" w14:textId="36D9F7F7" w:rsidR="00640E4D" w:rsidRDefault="00640E4D" w:rsidP="00C151E8">
      <w:pPr>
        <w:spacing w:line="276" w:lineRule="auto"/>
        <w:jc w:val="both"/>
        <w:rPr>
          <w:rFonts w:ascii="Times New Roman" w:hAnsi="Times New Roman" w:cs="Times New Roman"/>
          <w:sz w:val="26"/>
          <w:szCs w:val="26"/>
        </w:rPr>
      </w:pPr>
      <w:r>
        <w:rPr>
          <w:rFonts w:ascii="Times New Roman" w:hAnsi="Times New Roman" w:cs="Times New Roman"/>
          <w:sz w:val="26"/>
          <w:szCs w:val="26"/>
        </w:rPr>
        <w:t xml:space="preserve">                                                 Emmanuel KANT, </w:t>
      </w:r>
      <w:r w:rsidRPr="000B31D9">
        <w:rPr>
          <w:rFonts w:ascii="Times New Roman" w:hAnsi="Times New Roman" w:cs="Times New Roman"/>
          <w:i/>
          <w:iCs/>
          <w:sz w:val="26"/>
          <w:szCs w:val="26"/>
        </w:rPr>
        <w:t>Qu’est-ce que les Lumières ?</w:t>
      </w:r>
      <w:r>
        <w:rPr>
          <w:rFonts w:ascii="Times New Roman" w:hAnsi="Times New Roman" w:cs="Times New Roman"/>
          <w:sz w:val="26"/>
          <w:szCs w:val="26"/>
        </w:rPr>
        <w:t xml:space="preserve"> (1784)</w:t>
      </w:r>
    </w:p>
    <w:p w14:paraId="177B8588" w14:textId="77777777" w:rsidR="00A05B02" w:rsidRPr="008C25F2" w:rsidRDefault="00A05B02" w:rsidP="00C151E8">
      <w:pPr>
        <w:spacing w:line="276" w:lineRule="auto"/>
        <w:jc w:val="both"/>
        <w:rPr>
          <w:rFonts w:ascii="Times New Roman" w:hAnsi="Times New Roman" w:cs="Times New Roman"/>
          <w:sz w:val="26"/>
          <w:szCs w:val="26"/>
        </w:rPr>
      </w:pPr>
    </w:p>
    <w:sectPr w:rsidR="00A05B02" w:rsidRPr="008C25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081"/>
    <w:rsid w:val="000B31D9"/>
    <w:rsid w:val="00190081"/>
    <w:rsid w:val="00192FCF"/>
    <w:rsid w:val="002E1D71"/>
    <w:rsid w:val="00397BAA"/>
    <w:rsid w:val="005E377F"/>
    <w:rsid w:val="00640E4D"/>
    <w:rsid w:val="00780555"/>
    <w:rsid w:val="00853C5B"/>
    <w:rsid w:val="008C25F2"/>
    <w:rsid w:val="00A05B02"/>
    <w:rsid w:val="00C151E8"/>
    <w:rsid w:val="00C57A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3588C"/>
  <w15:chartTrackingRefBased/>
  <w15:docId w15:val="{A45720B6-B79A-4CEB-ABF2-43775BD6D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5F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826</Words>
  <Characters>4543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6</cp:revision>
  <cp:lastPrinted>2023-09-28T07:12:00Z</cp:lastPrinted>
  <dcterms:created xsi:type="dcterms:W3CDTF">2023-09-25T04:49:00Z</dcterms:created>
  <dcterms:modified xsi:type="dcterms:W3CDTF">2023-09-30T04:54:00Z</dcterms:modified>
</cp:coreProperties>
</file>